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Etik Beyan ve Yayın Lisansı Formu</w:t>
      </w:r>
    </w:p>
    <w:p>
      <w:pPr>
        <w:pStyle w:val="AtayurtAltBaşlık"/>
      </w:pPr>
      <w:r>
        <w:t>Ethics Declaration and Publishing Licence Form · Yazarlar tarafından doldurulur</w:t>
      </w:r>
    </w:p>
    <w:p>
      <w:pPr>
        <w:pStyle w:val="AtayurtNot"/>
      </w:pPr>
      <w:r>
        <w:t>Bu form, eski adıyla “Etik Sorumluluk Beyanı ve Telif Hakkı Devir Formu”nun yerini alır. Dergide telif hakkı yazarda kalır; yazar(lar) dergiye yalnızca ilk yayım lisansı verir. Bu nedenle “telif devri” ifadesi kaldırılmıştır.</w:t>
      </w:r>
    </w:p>
    <w:p>
      <w:pPr>
        <w:pStyle w:val="Heading1"/>
      </w:pPr>
      <w:r>
        <w:t>1. Makale Bilgileri</w:t>
      </w:r>
    </w:p>
    <w:tbl>
      <w:tblPr>
        <w:tblW w:type="auto" w:w="0"/>
        <w:tblLayout w:type="fixed"/>
        <w:tblLook w:firstColumn="1" w:firstRow="1" w:lastColumn="0" w:lastRow="0" w:noHBand="0" w:noVBand="1" w:val="04A0"/>
        <w:tblBorders>
          <w:top w:val="single" w:sz="4" w:space="0" w:color="DCD5C2"/>
          <w:left w:val="single" w:sz="4" w:space="0" w:color="DCD5C2"/>
          <w:bottom w:val="single" w:sz="4" w:space="0" w:color="DCD5C2"/>
          <w:right w:val="single" w:sz="4" w:space="0" w:color="DCD5C2"/>
          <w:insideH w:val="single" w:sz="4" w:space="0" w:color="DCD5C2"/>
          <w:insideV w:val="single" w:sz="4" w:space="0" w:color="DCD5C2"/>
        </w:tblBorders>
        <w:tblLayout w:type="fixed"/>
      </w:tblPr>
      <w:tblGrid>
        <w:gridCol w:w="2835"/>
        <w:gridCol w:w="6633"/>
      </w:tblGrid>
      <w:tr>
        <w:trPr>
          <w:trHeight w:val="400"/>
        </w:trPr>
        <w:tc>
          <w:tcPr>
            <w:tcW w:type="dxa" w:w="2835"/>
            <w:shd w:val="clear" w:color="auto" w:fill="F6F3EB"/>
          </w:tcPr>
          <w:p>
            <w:pPr>
              <w:pStyle w:val="AtayurtTablo"/>
            </w:pPr>
            <w:r/>
            <w:r>
              <w:rPr>
                <w:b/>
                <w:color w:val="0F4C5C"/>
                <w:sz w:val="21"/>
              </w:rPr>
              <w:t>Makalenin başlığı</w:t>
            </w:r>
          </w:p>
        </w:tc>
        <w:tc>
          <w:tcPr>
            <w:tcW w:type="dxa" w:w="6633"/>
          </w:tcPr>
          <w:p>
            <w:pPr>
              <w:pStyle w:val="AtayurtTablo"/>
            </w:pPr>
            <w:r/>
          </w:p>
        </w:tc>
      </w:tr>
      <w:tr>
        <w:trPr>
          <w:trHeight w:val="400"/>
        </w:trPr>
        <w:tc>
          <w:tcPr>
            <w:tcW w:type="dxa" w:w="2835"/>
            <w:shd w:val="clear" w:color="auto" w:fill="F6F3EB"/>
          </w:tcPr>
          <w:p>
            <w:pPr>
              <w:pStyle w:val="AtayurtTablo"/>
            </w:pPr>
            <w:r/>
            <w:r>
              <w:rPr>
                <w:b/>
                <w:color w:val="0F4C5C"/>
                <w:sz w:val="21"/>
              </w:rPr>
              <w:t>Makale türü</w:t>
            </w:r>
          </w:p>
        </w:tc>
        <w:tc>
          <w:tcPr>
            <w:tcW w:type="dxa" w:w="6633"/>
          </w:tcPr>
          <w:p>
            <w:pPr>
              <w:pStyle w:val="AtayurtTablo"/>
            </w:pPr>
            <w:r/>
          </w:p>
        </w:tc>
      </w:tr>
      <w:tr>
        <w:trPr>
          <w:trHeight w:val="400"/>
        </w:trPr>
        <w:tc>
          <w:tcPr>
            <w:tcW w:type="dxa" w:w="2835"/>
            <w:shd w:val="clear" w:color="auto" w:fill="F6F3EB"/>
          </w:tcPr>
          <w:p>
            <w:pPr>
              <w:pStyle w:val="AtayurtTablo"/>
            </w:pPr>
            <w:r/>
            <w:r>
              <w:rPr>
                <w:b/>
                <w:color w:val="0F4C5C"/>
                <w:sz w:val="21"/>
              </w:rPr>
              <w:t>Sorumlu (yazışma) yazar</w:t>
            </w:r>
          </w:p>
        </w:tc>
        <w:tc>
          <w:tcPr>
            <w:tcW w:type="dxa" w:w="6633"/>
          </w:tcPr>
          <w:p>
            <w:pPr>
              <w:pStyle w:val="AtayurtTablo"/>
            </w:pPr>
            <w:r/>
          </w:p>
        </w:tc>
      </w:tr>
      <w:tr>
        <w:trPr>
          <w:trHeight w:val="400"/>
        </w:trPr>
        <w:tc>
          <w:tcPr>
            <w:tcW w:type="dxa" w:w="2835"/>
            <w:shd w:val="clear" w:color="auto" w:fill="F6F3EB"/>
          </w:tcPr>
          <w:p>
            <w:pPr>
              <w:pStyle w:val="AtayurtTablo"/>
            </w:pPr>
            <w:r/>
            <w:r>
              <w:rPr>
                <w:b/>
                <w:color w:val="0F4C5C"/>
                <w:sz w:val="21"/>
              </w:rPr>
              <w:t>Sorumlu yazarın e-postası</w:t>
            </w:r>
          </w:p>
        </w:tc>
        <w:tc>
          <w:tcPr>
            <w:tcW w:type="dxa" w:w="6633"/>
          </w:tcPr>
          <w:p>
            <w:pPr>
              <w:pStyle w:val="AtayurtTablo"/>
            </w:pPr>
            <w:r/>
          </w:p>
        </w:tc>
      </w:tr>
      <w:tr>
        <w:trPr>
          <w:trHeight w:val="400"/>
        </w:trPr>
        <w:tc>
          <w:tcPr>
            <w:tcW w:type="dxa" w:w="2835"/>
            <w:shd w:val="clear" w:color="auto" w:fill="F6F3EB"/>
          </w:tcPr>
          <w:p>
            <w:pPr>
              <w:pStyle w:val="AtayurtTablo"/>
            </w:pPr>
            <w:r/>
            <w:r>
              <w:rPr>
                <w:b/>
                <w:color w:val="0F4C5C"/>
                <w:sz w:val="21"/>
              </w:rPr>
              <w:t>Gönderim numarası (varsa)</w:t>
            </w:r>
          </w:p>
        </w:tc>
        <w:tc>
          <w:tcPr>
            <w:tcW w:type="dxa" w:w="6633"/>
          </w:tcPr>
          <w:p>
            <w:pPr>
              <w:pStyle w:val="AtayurtTablo"/>
            </w:pPr>
            <w:r/>
          </w:p>
        </w:tc>
      </w:tr>
    </w:tbl>
    <w:p>
      <w:pPr>
        <w:spacing w:after="40"/>
      </w:pPr>
    </w:p>
    <w:p>
      <w:pPr>
        <w:pStyle w:val="Heading1"/>
      </w:pPr>
      <w:r>
        <w:t>2. Etik Beyan</w:t>
      </w:r>
    </w:p>
    <w:p>
      <w:pPr>
        <w:jc w:val="both"/>
      </w:pPr>
      <w:r>
        <w:t>Aşağıda adları ve onayları bulunan yazar(lar), başlığı yukarıda belirtilen çalışma için şunları beyan eder:</w:t>
      </w:r>
    </w:p>
    <w:p>
      <w:pPr>
        <w:pStyle w:val="ListBullet"/>
      </w:pPr>
      <w:r>
        <w:t>Çalışma özgündür; bilimsel araştırma ve yayın etiği ilkelerine (COPE ilkeleri ve Atayurt Tarih Dergisi Yayın Politikası) uygun olarak hazırlanmıştır.</w:t>
      </w:r>
    </w:p>
    <w:p>
      <w:pPr>
        <w:pStyle w:val="ListBullet"/>
      </w:pPr>
      <w:r>
        <w:t>Çalışma daha önce yayımlanmamıştır ve başka bir dergide değerlendirme sürecinde değildir.</w:t>
      </w:r>
    </w:p>
    <w:p>
      <w:pPr>
        <w:pStyle w:val="ListBullet"/>
      </w:pPr>
      <w:r>
        <w:t>Çalışmada yararlanılan tüm kaynaklar (arşiv belgeleri, ikincil literatür, görseller, veriler) usulüne uygun biçimde gösterilmiştir.</w:t>
      </w:r>
    </w:p>
    <w:p>
      <w:pPr>
        <w:pStyle w:val="ListBullet"/>
      </w:pPr>
      <w:r>
        <w:t>Çalışmanın tamamı veya bir bölümü daha önce başka bir biçimde (ör. bildiri, tez bölümü) sunulmuşsa bu durum makalede belirtilmiştir; üçüncü kişilere ait materyal için gerekli izinler alınmış ve forma eklenmiştir.</w:t>
      </w:r>
    </w:p>
    <w:p>
      <w:pPr>
        <w:pStyle w:val="ListBullet"/>
      </w:pPr>
      <w:r>
        <w:t>Etik kurul izni gerektiren çalışmalarda (ör. sözlü tarih görüşmeleri, anket, kişisel veri içeren çalışmalar) izin alınmış ve kurul adı, karar tarihi ve sayısı makalede belirtilmiştir.</w:t>
      </w:r>
    </w:p>
    <w:p>
      <w:pPr>
        <w:pStyle w:val="ListBullet"/>
      </w:pPr>
      <w:r>
        <w:t>Çalışmada yapay zekâ araçlarının kullanımı, derginin Yapay Zekâ Kullanım Politikası uyarınca beyan edilmiştir.</w:t>
      </w:r>
    </w:p>
    <w:p>
      <w:pPr>
        <w:pStyle w:val="ListBullet"/>
      </w:pPr>
      <w:r>
        <w:t>Yazar listesindeki herkes çalışmaya fiilen katkı vermiştir; katkı vermeyen kişi yazar olarak gösterilmemiş, katkı veren hiç kimse yazar listesinin dışında bırakılmamıştır.</w:t>
      </w:r>
    </w:p>
    <w:p>
      <w:pPr>
        <w:pStyle w:val="ListBullet"/>
      </w:pPr>
      <w:r>
        <w:t>Çalışmanın içeriğinden, sonuçlarından ve yorumlarından yazar(lar) sorumludur.</w:t>
      </w:r>
    </w:p>
    <w:p>
      <w:pPr>
        <w:pStyle w:val="Heading1"/>
      </w:pPr>
      <w:r>
        <w:t>3. Telif Hakkı ve Yayın Lisansı</w:t>
      </w:r>
    </w:p>
    <w:p>
      <w:pPr>
        <w:jc w:val="both"/>
      </w:pPr>
      <w:r>
        <w:t>Çalışmanın telif hakkı yazar(lar)da kalır. Yazar(lar), çalışmanın kabul edilmesi hâlinde Atayurt Tarih Dergisi’ne çalışmayı ilk kez yayımlama, dijital ortamda çoğaltma, arşivleme ve dizinleme amacıyla münhasır olmayan bir yayın izni verir.</w:t>
      </w:r>
    </w:p>
    <w:p>
      <w:pPr>
        <w:jc w:val="both"/>
      </w:pPr>
      <w:r>
        <w:t xml:space="preserve">Çalışma, yayımlandığı andan itibaren </w:t>
      </w:r>
      <w:r>
        <w:rPr>
          <w:b/>
        </w:rPr>
        <w:t>Creative Commons Atıf 4.0 Uluslararası (CC BY 4.0)</w:t>
      </w:r>
      <w:r>
        <w:t xml:space="preserve"> lisansıyla ambargosuz olarak açık erişime açılır. Bu lisans uyarınca herkes, yazar(lar)a ve ilk yayım yerine uygun atıf yapmak ve değişiklik yapıldıysa belirtmek koşuluyla, ticari amaçlar dahil her amaçla çalışmayı okuyabilir, indirebilir, kopyalayabilir, dağıtabilir, yazdırabilir, uyarlayabilir ve bağlantı verebilir. Lisans metni: https://creativecommons.org/licenses/by/4.0/deed.tr</w:t>
      </w:r>
    </w:p>
    <w:p>
      <w:pPr>
        <w:jc w:val="both"/>
      </w:pPr>
      <w:r>
        <w:t>Yazar(lar), çalışmayı başka bir ortamda (kurumsal arşiv, kişisel sayfa, konu arşivi vb.) yeniden paylaştığında ilk yayımın Atayurt Tarih Dergisi’nde yapıldığını tam künye ve DOI ile belirtmeyi kabul eder. Çalışmanın yayından önceki (preprint), kabul edilmiş (hakem sonrası) ve yayımlanmış hâllerinin paylaşımında ambargo uygulanmaz.</w:t>
      </w:r>
    </w:p>
    <w:p>
      <w:pPr>
        <w:pStyle w:val="Heading1"/>
      </w:pPr>
      <w:r>
        <w:t>4. Yazar Onayları</w:t>
      </w:r>
    </w:p>
    <w:p>
      <w:pPr>
        <w:jc w:val="both"/>
      </w:pPr>
      <w:r>
        <w:t>Her yazar kendi satırını doldurur. Islak imza, güvenli elektronik imza veya her yazarın kendi e-posta adresinden dergiye gönderdiği yazılı onay kabul edilir. Altıdan fazla yazar varsa tabloya satır ekleyiniz.</w:t>
      </w:r>
    </w:p>
    <w:tbl>
      <w:tblPr>
        <w:tblW w:type="auto" w:w="0"/>
        <w:jc w:val="center"/>
        <w:tblLayout w:type="fixed"/>
        <w:tblLook w:firstColumn="1" w:firstRow="1" w:lastColumn="0" w:lastRow="0" w:noHBand="0" w:noVBand="1" w:val="04A0"/>
        <w:tblBorders>
          <w:top w:val="single" w:sz="4" w:space="0" w:color="DCD5C2"/>
          <w:left w:val="single" w:sz="4" w:space="0" w:color="DCD5C2"/>
          <w:bottom w:val="single" w:sz="4" w:space="0" w:color="DCD5C2"/>
          <w:right w:val="single" w:sz="4" w:space="0" w:color="DCD5C2"/>
          <w:insideH w:val="single" w:sz="4" w:space="0" w:color="DCD5C2"/>
          <w:insideV w:val="single" w:sz="4" w:space="0" w:color="DCD5C2"/>
        </w:tblBorders>
        <w:tblLayout w:type="fixed"/>
      </w:tblPr>
      <w:tblGrid>
        <w:gridCol w:w="510"/>
        <w:gridCol w:w="2097"/>
        <w:gridCol w:w="1927"/>
        <w:gridCol w:w="2211"/>
        <w:gridCol w:w="1134"/>
        <w:gridCol w:w="1417"/>
      </w:tblGrid>
      <w:tr>
        <w:tc>
          <w:tcPr>
            <w:tcW w:type="dxa" w:w="510"/>
            <w:shd w:val="clear" w:color="auto" w:fill="0F4C5C"/>
          </w:tcPr>
          <w:p>
            <w:pPr>
              <w:pStyle w:val="AtayurtTablo"/>
            </w:pPr>
            <w:r>
              <w:rPr>
                <w:b/>
                <w:color w:val="FFFFFF"/>
                <w:sz w:val="19"/>
              </w:rPr>
            </w:r>
            <w:r>
              <w:rPr>
                <w:b/>
                <w:color w:val="FFFFFF"/>
                <w:sz w:val="19"/>
              </w:rPr>
              <w:t>No</w:t>
            </w:r>
          </w:p>
        </w:tc>
        <w:tc>
          <w:tcPr>
            <w:tcW w:type="dxa" w:w="2098"/>
            <w:shd w:val="clear" w:color="auto" w:fill="0F4C5C"/>
          </w:tcPr>
          <w:p>
            <w:pPr>
              <w:pStyle w:val="AtayurtTablo"/>
            </w:pPr>
            <w:r>
              <w:rPr>
                <w:b/>
                <w:color w:val="FFFFFF"/>
                <w:sz w:val="19"/>
              </w:rPr>
            </w:r>
            <w:r>
              <w:rPr>
                <w:b/>
                <w:color w:val="FFFFFF"/>
                <w:sz w:val="19"/>
              </w:rPr>
              <w:t>Adı Soyadı</w:t>
            </w:r>
          </w:p>
        </w:tc>
        <w:tc>
          <w:tcPr>
            <w:tcW w:type="dxa" w:w="1928"/>
            <w:shd w:val="clear" w:color="auto" w:fill="0F4C5C"/>
          </w:tcPr>
          <w:p>
            <w:pPr>
              <w:pStyle w:val="AtayurtTablo"/>
            </w:pPr>
            <w:r>
              <w:rPr>
                <w:b/>
                <w:color w:val="FFFFFF"/>
                <w:sz w:val="19"/>
              </w:rPr>
            </w:r>
            <w:r>
              <w:rPr>
                <w:b/>
                <w:color w:val="FFFFFF"/>
                <w:sz w:val="19"/>
              </w:rPr>
              <w:t>ORCID</w:t>
            </w:r>
          </w:p>
        </w:tc>
        <w:tc>
          <w:tcPr>
            <w:tcW w:type="dxa" w:w="2211"/>
            <w:shd w:val="clear" w:color="auto" w:fill="0F4C5C"/>
          </w:tcPr>
          <w:p>
            <w:pPr>
              <w:pStyle w:val="AtayurtTablo"/>
            </w:pPr>
            <w:r>
              <w:rPr>
                <w:b/>
                <w:color w:val="FFFFFF"/>
                <w:sz w:val="19"/>
              </w:rPr>
            </w:r>
            <w:r>
              <w:rPr>
                <w:b/>
                <w:color w:val="FFFFFF"/>
                <w:sz w:val="19"/>
              </w:rPr>
              <w:t>Kurum / Ülke</w:t>
            </w:r>
          </w:p>
        </w:tc>
        <w:tc>
          <w:tcPr>
            <w:tcW w:type="dxa" w:w="1134"/>
            <w:shd w:val="clear" w:color="auto" w:fill="0F4C5C"/>
          </w:tcPr>
          <w:p>
            <w:pPr>
              <w:pStyle w:val="AtayurtTablo"/>
            </w:pPr>
            <w:r>
              <w:rPr>
                <w:b/>
                <w:color w:val="FFFFFF"/>
                <w:sz w:val="19"/>
              </w:rPr>
            </w:r>
            <w:r>
              <w:rPr>
                <w:b/>
                <w:color w:val="FFFFFF"/>
                <w:sz w:val="19"/>
              </w:rPr>
              <w:t>Tarih</w:t>
            </w:r>
          </w:p>
        </w:tc>
        <w:tc>
          <w:tcPr>
            <w:tcW w:type="dxa" w:w="1417"/>
            <w:shd w:val="clear" w:color="auto" w:fill="0F4C5C"/>
          </w:tcPr>
          <w:p>
            <w:pPr>
              <w:pStyle w:val="AtayurtTablo"/>
            </w:pPr>
            <w:r>
              <w:rPr>
                <w:b/>
                <w:color w:val="FFFFFF"/>
                <w:sz w:val="19"/>
              </w:rPr>
            </w:r>
            <w:r>
              <w:rPr>
                <w:b/>
                <w:color w:val="FFFFFF"/>
                <w:sz w:val="19"/>
              </w:rPr>
              <w:t>İmza / Onay</w:t>
            </w:r>
          </w:p>
        </w:tc>
      </w:tr>
      <w:tr>
        <w:trPr>
          <w:trHeight w:val="520"/>
        </w:trPr>
        <w:tc>
          <w:tcPr>
            <w:tcW w:type="dxa" w:w="510"/>
          </w:tcPr>
          <w:p>
            <w:pPr>
              <w:pStyle w:val="AtayurtTablo"/>
            </w:pPr>
            <w:r>
              <w:rPr>
                <w:sz w:val="19"/>
              </w:rPr>
            </w:r>
            <w:r>
              <w:rPr>
                <w:sz w:val="19"/>
              </w:rPr>
              <w:t>1.</w:t>
            </w:r>
          </w:p>
        </w:tc>
        <w:tc>
          <w:tcPr>
            <w:tcW w:type="dxa" w:w="2098"/>
          </w:tcPr>
          <w:p>
            <w:pPr>
              <w:pStyle w:val="AtayurtTablo"/>
            </w:pPr>
            <w:r>
              <w:rPr>
                <w:sz w:val="19"/>
              </w:rPr>
            </w:r>
          </w:p>
        </w:tc>
        <w:tc>
          <w:tcPr>
            <w:tcW w:type="dxa" w:w="1928"/>
          </w:tcPr>
          <w:p>
            <w:pPr>
              <w:pStyle w:val="AtayurtTablo"/>
            </w:pPr>
            <w:r>
              <w:rPr>
                <w:sz w:val="19"/>
              </w:rPr>
            </w:r>
          </w:p>
        </w:tc>
        <w:tc>
          <w:tcPr>
            <w:tcW w:type="dxa" w:w="2211"/>
          </w:tcPr>
          <w:p>
            <w:pPr>
              <w:pStyle w:val="AtayurtTablo"/>
            </w:pPr>
            <w:r>
              <w:rPr>
                <w:sz w:val="19"/>
              </w:rPr>
            </w:r>
          </w:p>
        </w:tc>
        <w:tc>
          <w:tcPr>
            <w:tcW w:type="dxa" w:w="1134"/>
          </w:tcPr>
          <w:p>
            <w:pPr>
              <w:pStyle w:val="AtayurtTablo"/>
            </w:pPr>
            <w:r>
              <w:rPr>
                <w:sz w:val="19"/>
              </w:rPr>
            </w:r>
          </w:p>
        </w:tc>
        <w:tc>
          <w:tcPr>
            <w:tcW w:type="dxa" w:w="1417"/>
          </w:tcPr>
          <w:p>
            <w:pPr>
              <w:pStyle w:val="AtayurtTablo"/>
            </w:pPr>
            <w:r>
              <w:rPr>
                <w:sz w:val="19"/>
              </w:rPr>
            </w:r>
          </w:p>
        </w:tc>
      </w:tr>
      <w:tr>
        <w:trPr>
          <w:trHeight w:val="520"/>
        </w:trPr>
        <w:tc>
          <w:tcPr>
            <w:tcW w:type="dxa" w:w="510"/>
          </w:tcPr>
          <w:p>
            <w:pPr>
              <w:pStyle w:val="AtayurtTablo"/>
            </w:pPr>
            <w:r>
              <w:rPr>
                <w:sz w:val="19"/>
              </w:rPr>
            </w:r>
            <w:r>
              <w:rPr>
                <w:sz w:val="19"/>
              </w:rPr>
              <w:t>2.</w:t>
            </w:r>
          </w:p>
        </w:tc>
        <w:tc>
          <w:tcPr>
            <w:tcW w:type="dxa" w:w="2098"/>
          </w:tcPr>
          <w:p>
            <w:pPr>
              <w:pStyle w:val="AtayurtTablo"/>
            </w:pPr>
            <w:r>
              <w:rPr>
                <w:sz w:val="19"/>
              </w:rPr>
            </w:r>
          </w:p>
        </w:tc>
        <w:tc>
          <w:tcPr>
            <w:tcW w:type="dxa" w:w="1928"/>
          </w:tcPr>
          <w:p>
            <w:pPr>
              <w:pStyle w:val="AtayurtTablo"/>
            </w:pPr>
            <w:r>
              <w:rPr>
                <w:sz w:val="19"/>
              </w:rPr>
            </w:r>
          </w:p>
        </w:tc>
        <w:tc>
          <w:tcPr>
            <w:tcW w:type="dxa" w:w="2211"/>
          </w:tcPr>
          <w:p>
            <w:pPr>
              <w:pStyle w:val="AtayurtTablo"/>
            </w:pPr>
            <w:r>
              <w:rPr>
                <w:sz w:val="19"/>
              </w:rPr>
            </w:r>
          </w:p>
        </w:tc>
        <w:tc>
          <w:tcPr>
            <w:tcW w:type="dxa" w:w="1134"/>
          </w:tcPr>
          <w:p>
            <w:pPr>
              <w:pStyle w:val="AtayurtTablo"/>
            </w:pPr>
            <w:r>
              <w:rPr>
                <w:sz w:val="19"/>
              </w:rPr>
            </w:r>
          </w:p>
        </w:tc>
        <w:tc>
          <w:tcPr>
            <w:tcW w:type="dxa" w:w="1417"/>
          </w:tcPr>
          <w:p>
            <w:pPr>
              <w:pStyle w:val="AtayurtTablo"/>
            </w:pPr>
            <w:r>
              <w:rPr>
                <w:sz w:val="19"/>
              </w:rPr>
            </w:r>
          </w:p>
        </w:tc>
      </w:tr>
      <w:tr>
        <w:trPr>
          <w:trHeight w:val="520"/>
        </w:trPr>
        <w:tc>
          <w:tcPr>
            <w:tcW w:type="dxa" w:w="510"/>
          </w:tcPr>
          <w:p>
            <w:pPr>
              <w:pStyle w:val="AtayurtTablo"/>
            </w:pPr>
            <w:r>
              <w:rPr>
                <w:sz w:val="19"/>
              </w:rPr>
            </w:r>
            <w:r>
              <w:rPr>
                <w:sz w:val="19"/>
              </w:rPr>
              <w:t>3.</w:t>
            </w:r>
          </w:p>
        </w:tc>
        <w:tc>
          <w:tcPr>
            <w:tcW w:type="dxa" w:w="2098"/>
          </w:tcPr>
          <w:p>
            <w:pPr>
              <w:pStyle w:val="AtayurtTablo"/>
            </w:pPr>
            <w:r>
              <w:rPr>
                <w:sz w:val="19"/>
              </w:rPr>
            </w:r>
          </w:p>
        </w:tc>
        <w:tc>
          <w:tcPr>
            <w:tcW w:type="dxa" w:w="1928"/>
          </w:tcPr>
          <w:p>
            <w:pPr>
              <w:pStyle w:val="AtayurtTablo"/>
            </w:pPr>
            <w:r>
              <w:rPr>
                <w:sz w:val="19"/>
              </w:rPr>
            </w:r>
          </w:p>
        </w:tc>
        <w:tc>
          <w:tcPr>
            <w:tcW w:type="dxa" w:w="2211"/>
          </w:tcPr>
          <w:p>
            <w:pPr>
              <w:pStyle w:val="AtayurtTablo"/>
            </w:pPr>
            <w:r>
              <w:rPr>
                <w:sz w:val="19"/>
              </w:rPr>
            </w:r>
          </w:p>
        </w:tc>
        <w:tc>
          <w:tcPr>
            <w:tcW w:type="dxa" w:w="1134"/>
          </w:tcPr>
          <w:p>
            <w:pPr>
              <w:pStyle w:val="AtayurtTablo"/>
            </w:pPr>
            <w:r>
              <w:rPr>
                <w:sz w:val="19"/>
              </w:rPr>
            </w:r>
          </w:p>
        </w:tc>
        <w:tc>
          <w:tcPr>
            <w:tcW w:type="dxa" w:w="1417"/>
          </w:tcPr>
          <w:p>
            <w:pPr>
              <w:pStyle w:val="AtayurtTablo"/>
            </w:pPr>
            <w:r>
              <w:rPr>
                <w:sz w:val="19"/>
              </w:rPr>
            </w:r>
          </w:p>
        </w:tc>
      </w:tr>
      <w:tr>
        <w:trPr>
          <w:trHeight w:val="520"/>
        </w:trPr>
        <w:tc>
          <w:tcPr>
            <w:tcW w:type="dxa" w:w="510"/>
          </w:tcPr>
          <w:p>
            <w:pPr>
              <w:pStyle w:val="AtayurtTablo"/>
            </w:pPr>
            <w:r>
              <w:rPr>
                <w:sz w:val="19"/>
              </w:rPr>
            </w:r>
            <w:r>
              <w:rPr>
                <w:sz w:val="19"/>
              </w:rPr>
              <w:t>4.</w:t>
            </w:r>
          </w:p>
        </w:tc>
        <w:tc>
          <w:tcPr>
            <w:tcW w:type="dxa" w:w="2098"/>
          </w:tcPr>
          <w:p>
            <w:pPr>
              <w:pStyle w:val="AtayurtTablo"/>
            </w:pPr>
            <w:r>
              <w:rPr>
                <w:sz w:val="19"/>
              </w:rPr>
            </w:r>
          </w:p>
        </w:tc>
        <w:tc>
          <w:tcPr>
            <w:tcW w:type="dxa" w:w="1928"/>
          </w:tcPr>
          <w:p>
            <w:pPr>
              <w:pStyle w:val="AtayurtTablo"/>
            </w:pPr>
            <w:r>
              <w:rPr>
                <w:sz w:val="19"/>
              </w:rPr>
            </w:r>
          </w:p>
        </w:tc>
        <w:tc>
          <w:tcPr>
            <w:tcW w:type="dxa" w:w="2211"/>
          </w:tcPr>
          <w:p>
            <w:pPr>
              <w:pStyle w:val="AtayurtTablo"/>
            </w:pPr>
            <w:r>
              <w:rPr>
                <w:sz w:val="19"/>
              </w:rPr>
            </w:r>
          </w:p>
        </w:tc>
        <w:tc>
          <w:tcPr>
            <w:tcW w:type="dxa" w:w="1134"/>
          </w:tcPr>
          <w:p>
            <w:pPr>
              <w:pStyle w:val="AtayurtTablo"/>
            </w:pPr>
            <w:r>
              <w:rPr>
                <w:sz w:val="19"/>
              </w:rPr>
            </w:r>
          </w:p>
        </w:tc>
        <w:tc>
          <w:tcPr>
            <w:tcW w:type="dxa" w:w="1417"/>
          </w:tcPr>
          <w:p>
            <w:pPr>
              <w:pStyle w:val="AtayurtTablo"/>
            </w:pPr>
            <w:r>
              <w:rPr>
                <w:sz w:val="19"/>
              </w:rPr>
            </w:r>
          </w:p>
        </w:tc>
      </w:tr>
      <w:tr>
        <w:trPr>
          <w:trHeight w:val="520"/>
        </w:trPr>
        <w:tc>
          <w:tcPr>
            <w:tcW w:type="dxa" w:w="510"/>
          </w:tcPr>
          <w:p>
            <w:pPr>
              <w:pStyle w:val="AtayurtTablo"/>
            </w:pPr>
            <w:r>
              <w:rPr>
                <w:sz w:val="19"/>
              </w:rPr>
            </w:r>
            <w:r>
              <w:rPr>
                <w:sz w:val="19"/>
              </w:rPr>
              <w:t>5.</w:t>
            </w:r>
          </w:p>
        </w:tc>
        <w:tc>
          <w:tcPr>
            <w:tcW w:type="dxa" w:w="2098"/>
          </w:tcPr>
          <w:p>
            <w:pPr>
              <w:pStyle w:val="AtayurtTablo"/>
            </w:pPr>
            <w:r>
              <w:rPr>
                <w:sz w:val="19"/>
              </w:rPr>
            </w:r>
          </w:p>
        </w:tc>
        <w:tc>
          <w:tcPr>
            <w:tcW w:type="dxa" w:w="1928"/>
          </w:tcPr>
          <w:p>
            <w:pPr>
              <w:pStyle w:val="AtayurtTablo"/>
            </w:pPr>
            <w:r>
              <w:rPr>
                <w:sz w:val="19"/>
              </w:rPr>
            </w:r>
          </w:p>
        </w:tc>
        <w:tc>
          <w:tcPr>
            <w:tcW w:type="dxa" w:w="2211"/>
          </w:tcPr>
          <w:p>
            <w:pPr>
              <w:pStyle w:val="AtayurtTablo"/>
            </w:pPr>
            <w:r>
              <w:rPr>
                <w:sz w:val="19"/>
              </w:rPr>
            </w:r>
          </w:p>
        </w:tc>
        <w:tc>
          <w:tcPr>
            <w:tcW w:type="dxa" w:w="1134"/>
          </w:tcPr>
          <w:p>
            <w:pPr>
              <w:pStyle w:val="AtayurtTablo"/>
            </w:pPr>
            <w:r>
              <w:rPr>
                <w:sz w:val="19"/>
              </w:rPr>
            </w:r>
          </w:p>
        </w:tc>
        <w:tc>
          <w:tcPr>
            <w:tcW w:type="dxa" w:w="1417"/>
          </w:tcPr>
          <w:p>
            <w:pPr>
              <w:pStyle w:val="AtayurtTablo"/>
            </w:pPr>
            <w:r>
              <w:rPr>
                <w:sz w:val="19"/>
              </w:rPr>
            </w:r>
          </w:p>
        </w:tc>
      </w:tr>
      <w:tr>
        <w:trPr>
          <w:trHeight w:val="520"/>
        </w:trPr>
        <w:tc>
          <w:tcPr>
            <w:tcW w:type="dxa" w:w="510"/>
          </w:tcPr>
          <w:p>
            <w:pPr>
              <w:pStyle w:val="AtayurtTablo"/>
            </w:pPr>
            <w:r>
              <w:rPr>
                <w:sz w:val="19"/>
              </w:rPr>
            </w:r>
            <w:r>
              <w:rPr>
                <w:sz w:val="19"/>
              </w:rPr>
              <w:t>6.</w:t>
            </w:r>
          </w:p>
        </w:tc>
        <w:tc>
          <w:tcPr>
            <w:tcW w:type="dxa" w:w="2098"/>
          </w:tcPr>
          <w:p>
            <w:pPr>
              <w:pStyle w:val="AtayurtTablo"/>
            </w:pPr>
            <w:r>
              <w:rPr>
                <w:sz w:val="19"/>
              </w:rPr>
            </w:r>
          </w:p>
        </w:tc>
        <w:tc>
          <w:tcPr>
            <w:tcW w:type="dxa" w:w="1928"/>
          </w:tcPr>
          <w:p>
            <w:pPr>
              <w:pStyle w:val="AtayurtTablo"/>
            </w:pPr>
            <w:r>
              <w:rPr>
                <w:sz w:val="19"/>
              </w:rPr>
            </w:r>
          </w:p>
        </w:tc>
        <w:tc>
          <w:tcPr>
            <w:tcW w:type="dxa" w:w="2211"/>
          </w:tcPr>
          <w:p>
            <w:pPr>
              <w:pStyle w:val="AtayurtTablo"/>
            </w:pPr>
            <w:r>
              <w:rPr>
                <w:sz w:val="19"/>
              </w:rPr>
            </w:r>
          </w:p>
        </w:tc>
        <w:tc>
          <w:tcPr>
            <w:tcW w:type="dxa" w:w="1134"/>
          </w:tcPr>
          <w:p>
            <w:pPr>
              <w:pStyle w:val="AtayurtTablo"/>
            </w:pPr>
            <w:r>
              <w:rPr>
                <w:sz w:val="19"/>
              </w:rPr>
            </w:r>
          </w:p>
        </w:tc>
        <w:tc>
          <w:tcPr>
            <w:tcW w:type="dxa" w:w="1417"/>
          </w:tcPr>
          <w:p>
            <w:pPr>
              <w:pStyle w:val="AtayurtTablo"/>
            </w:pPr>
            <w:r>
              <w:rPr>
                <w:sz w:val="19"/>
              </w:rPr>
            </w:r>
          </w:p>
        </w:tc>
      </w:tr>
    </w:tbl>
    <w:p>
      <w:pPr>
        <w:spacing w:after="40"/>
      </w:pPr>
    </w:p>
    <w:p>
      <w:r>
        <w:t>Yukarıdaki beyanların doğru olduğunu kabul ve taahhüt ederiz.</w:t>
      </w:r>
    </w:p>
    <w:p>
      <w:pPr>
        <w:pStyle w:val="AtayurtNot"/>
      </w:pPr>
      <w:r>
        <w:t>Kişisel verileriniz, derginin Gizlilik ve Kişisel Verilerin Korunması Aydınlatma Metni kapsamında yalnızca yayın sürecinin yürütülmesi amacıyla işlenir.</w:t>
      </w:r>
    </w:p>
    <w:sectPr w:rsidR="00FC693F" w:rsidRPr="0006063C" w:rsidSect="00034616">
      <w:headerReference w:type="default" r:id="rId9"/>
      <w:footerReference w:type="default" r:id="rId10"/>
      <w:headerReference w:type="first" r:id="rId11"/>
      <w:footerReference w:type="first" r:id="rId12"/>
      <w:pgSz w:w="11906" w:h="16838"/>
      <w:pgMar w:top="1247" w:right="1304" w:bottom="1134" w:left="130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9C8851"/>
      </w:pBdr>
    </w:pPr>
    <w:r>
      <w:rPr>
        <w:color w:val="6B6B6B"/>
        <w:sz w:val="16"/>
      </w:rPr>
      <w:t xml:space="preserve">Atayurt Tarih Dergisi · Etik Beyan ve Yayın Lisansı Formu · Form-1 · Sayfa </w:t>
    </w:r>
    <w:r>
      <w:rPr>
        <w:color w:val="6B6B6B"/>
        <w:sz w:val="16"/>
      </w:rPr>
      <w:fldChar w:fldCharType="begin"/>
      <w:instrText xml:space="preserve">PAGE</w:instrText>
      <w:fldChar w:fldCharType="separate"/>
      <w:t>1</w:t>
      <w:fldChar w:fldCharType="end"/>
    </w:r>
    <w:r>
      <w:rPr>
        <w:color w:val="6B6B6B"/>
        <w:sz w:val="16"/>
      </w:rPr>
      <w:t xml:space="preserve"> / </w:t>
    </w:r>
    <w:r>
      <w:rPr>
        <w:color w:val="6B6B6B"/>
        <w:sz w:val="16"/>
      </w:rPr>
      <w:fldChar w:fldCharType="begin"/>
      <w:instrText xml:space="preserve">NUMPAGES</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drawing>
        <wp:inline xmlns:a="http://schemas.openxmlformats.org/drawingml/2006/main" xmlns:pic="http://schemas.openxmlformats.org/drawingml/2006/picture">
          <wp:extent cx="5903999" cy="627886"/>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5903999" cy="627886"/>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pPr>
    <w:rPr>
      <w:rFonts w:ascii="Times New Roman" w:hAnsi="Times New Roman" w:cs="Times New Roman" w:eastAsia="Times New Roman"/>
      <w:color w:val="1E1E1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cs="Times New Roman" w:eastAsia="Times New Roman"/>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cs="Times New Roman" w:eastAsia="Times New Roman"/>
      <w:color w:val="6B6B6B"/>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EB Garamond" w:hAnsi="EB Garamond" w:cs="EB Garamond" w:eastAsia="EB Garamond"/>
      <w:b/>
      <w:bCs/>
      <w:i w:val="0"/>
      <w:color w:val="0F4C5C"/>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EB Garamond" w:hAnsi="EB Garamond" w:cs="EB Garamond" w:eastAsia="EB Garamond"/>
      <w:b/>
      <w:bCs/>
      <w:i w:val="0"/>
      <w:color w:val="0F4C5C"/>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EB Garamond" w:hAnsi="EB Garamond" w:cs="EB Garamond" w:eastAsia="EB Garamond"/>
      <w:b/>
      <w:bCs/>
      <w:i w:val="0"/>
      <w:color w:val="9C885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jc w:val="center"/>
    </w:pPr>
    <w:rPr>
      <w:rFonts w:ascii="EB Garamond" w:hAnsi="EB Garamond" w:cs="EB Garamond" w:eastAsia="EB Garamond"/>
      <w:b/>
      <w:color w:val="0F4C5C"/>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Times New Roman" w:hAnsi="Times New Roman" w:cs="Times New Roman" w:eastAsia="Times New Roman"/>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Times New Roman" w:hAnsi="Times New Roman" w:cs="Times New Roman" w:eastAsia="Times New Roman"/>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tayurtAltBaşlık">
    <w:name w:val="Atayurt Alt Başlık"/>
    <w:basedOn w:val="Normal"/>
    <w:pPr>
      <w:spacing w:after="200"/>
      <w:jc w:val="center"/>
    </w:pPr>
    <w:rPr>
      <w:rFonts w:ascii="Times New Roman" w:hAnsi="Times New Roman" w:cs="Times New Roman" w:eastAsia="Times New Roman"/>
      <w:i/>
      <w:color w:val="6B6B6B"/>
      <w:sz w:val="21"/>
    </w:rPr>
  </w:style>
  <w:style w:type="paragraph" w:customStyle="1" w:styleId="AtayurtNot">
    <w:name w:val="Atayurt Not"/>
    <w:basedOn w:val="Normal"/>
    <w:rPr>
      <w:rFonts w:ascii="Times New Roman" w:hAnsi="Times New Roman" w:cs="Times New Roman" w:eastAsia="Times New Roman"/>
      <w:i/>
      <w:color w:val="6B6B6B"/>
      <w:sz w:val="19"/>
    </w:rPr>
  </w:style>
  <w:style w:type="paragraph" w:customStyle="1" w:styleId="AtayurtTablo">
    <w:name w:val="Atayurt Tablo"/>
    <w:basedOn w:val="Normal"/>
    <w:pPr>
      <w:spacing w:after="0" w:line="240" w:lineRule="auto"/>
    </w:pPr>
    <w:rPr>
      <w:rFonts w:ascii="Times New Roman" w:hAnsi="Times New Roman" w:cs="Times New Roman" w:eastAsia="Times New Roman"/>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Atayurt Tarih Dergisi – Etik Beyan ve Yayın Lisansı Formu</dc:title>
  <dc:subject/>
  <dc:creator>Atayurt Tarih Dergisi</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